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Ind w:w="80" w:type="dxa"/>
        <w:tblLayout w:type="fixed"/>
        <w:tblCellMar>
          <w:top w:w="60" w:type="dxa"/>
          <w:left w:w="80" w:type="dxa"/>
          <w:bottom w:w="60" w:type="dxa"/>
          <w:right w:w="80" w:type="dxa"/>
        </w:tblCellMar>
        <w:tblLook w:val="0000" w:firstRow="0" w:lastRow="0" w:firstColumn="0" w:lastColumn="0" w:noHBand="0" w:noVBand="0"/>
      </w:tblPr>
      <w:tblGrid>
        <w:gridCol w:w="10716"/>
      </w:tblGrid>
      <w:tr w:rsidR="0053628A" w:rsidRPr="0053628A">
        <w:trPr>
          <w:trHeight w:hRule="exact" w:val="3031"/>
        </w:trPr>
        <w:tc>
          <w:tcPr>
            <w:tcW w:w="10716" w:type="dxa"/>
          </w:tcPr>
          <w:p w:rsidR="00FF72C7" w:rsidRPr="0053628A" w:rsidRDefault="0053628A" w:rsidP="0053628A">
            <w:pPr>
              <w:pStyle w:val="ConsPlusTitlePage"/>
              <w:jc w:val="right"/>
              <w:rPr>
                <w:rFonts w:ascii="Times New Roman" w:hAnsi="Times New Roman" w:cs="Times New Roman"/>
              </w:rPr>
            </w:pPr>
            <w:r w:rsidRPr="0053628A">
              <w:rPr>
                <w:rFonts w:ascii="Times New Roman" w:hAnsi="Times New Roman" w:cs="Times New Roman"/>
                <w:noProof/>
              </w:rPr>
              <w:drawing>
                <wp:inline distT="0" distB="0" distL="0" distR="0" wp14:anchorId="0145F8B6" wp14:editId="7463030E">
                  <wp:extent cx="4870450" cy="1041400"/>
                  <wp:effectExtent l="0" t="0" r="635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70450" cy="1041400"/>
                          </a:xfrm>
                          <a:prstGeom prst="rect">
                            <a:avLst/>
                          </a:prstGeom>
                          <a:noFill/>
                          <a:ln>
                            <a:noFill/>
                          </a:ln>
                        </pic:spPr>
                      </pic:pic>
                    </a:graphicData>
                  </a:graphic>
                </wp:inline>
              </w:drawing>
            </w:r>
          </w:p>
        </w:tc>
      </w:tr>
      <w:tr w:rsidR="0053628A" w:rsidRPr="0053628A">
        <w:trPr>
          <w:trHeight w:hRule="exact" w:val="8335"/>
        </w:trPr>
        <w:tc>
          <w:tcPr>
            <w:tcW w:w="10716" w:type="dxa"/>
            <w:vAlign w:val="center"/>
          </w:tcPr>
          <w:p w:rsidR="00FF72C7" w:rsidRPr="0053628A" w:rsidRDefault="0053628A">
            <w:pPr>
              <w:pStyle w:val="ConsPlusTitlePage"/>
              <w:jc w:val="center"/>
              <w:rPr>
                <w:rFonts w:ascii="Book Antiqua" w:hAnsi="Book Antiqua" w:cs="Times New Roman"/>
                <w:smallCaps/>
                <w:sz w:val="48"/>
                <w:szCs w:val="48"/>
              </w:rPr>
            </w:pPr>
            <w:r w:rsidRPr="0053628A">
              <w:rPr>
                <w:rFonts w:ascii="Book Antiqua" w:hAnsi="Book Antiqua" w:cs="Times New Roman"/>
                <w:smallCaps/>
                <w:color w:val="7F7F7F" w:themeColor="text1" w:themeTint="80"/>
                <w:sz w:val="48"/>
                <w:szCs w:val="48"/>
              </w:rPr>
              <w:t>Письмо</w:t>
            </w:r>
            <w:r w:rsidR="00FF72C7" w:rsidRPr="0053628A">
              <w:rPr>
                <w:rFonts w:ascii="Book Antiqua" w:hAnsi="Book Antiqua" w:cs="Times New Roman"/>
                <w:smallCaps/>
                <w:color w:val="7F7F7F" w:themeColor="text1" w:themeTint="80"/>
                <w:sz w:val="48"/>
                <w:szCs w:val="48"/>
              </w:rPr>
              <w:t xml:space="preserve"> Минтруда России </w:t>
            </w:r>
            <w:r w:rsidRPr="0053628A">
              <w:rPr>
                <w:rFonts w:ascii="Book Antiqua" w:hAnsi="Book Antiqua" w:cs="Times New Roman"/>
                <w:smallCaps/>
                <w:color w:val="7F7F7F" w:themeColor="text1" w:themeTint="80"/>
                <w:sz w:val="48"/>
                <w:szCs w:val="48"/>
              </w:rPr>
              <w:t xml:space="preserve">от 04.04.2016 </w:t>
            </w:r>
            <w:r>
              <w:rPr>
                <w:rFonts w:ascii="Book Antiqua" w:hAnsi="Book Antiqua" w:cs="Times New Roman"/>
                <w:smallCaps/>
                <w:color w:val="7F7F7F" w:themeColor="text1" w:themeTint="80"/>
                <w:sz w:val="48"/>
                <w:szCs w:val="48"/>
              </w:rPr>
              <w:br/>
            </w:r>
            <w:r w:rsidRPr="0053628A">
              <w:rPr>
                <w:rFonts w:ascii="Book Antiqua" w:hAnsi="Book Antiqua" w:cs="Times New Roman"/>
                <w:smallCaps/>
                <w:color w:val="7F7F7F" w:themeColor="text1" w:themeTint="80"/>
                <w:sz w:val="48"/>
                <w:szCs w:val="48"/>
              </w:rPr>
              <w:t>N 14-0/10/В-2253</w:t>
            </w:r>
            <w:r w:rsidRPr="0053628A">
              <w:rPr>
                <w:rFonts w:ascii="Book Antiqua" w:hAnsi="Book Antiqua" w:cs="Times New Roman"/>
                <w:smallCaps/>
                <w:color w:val="7F7F7F" w:themeColor="text1" w:themeTint="80"/>
                <w:sz w:val="48"/>
                <w:szCs w:val="48"/>
              </w:rPr>
              <w:br/>
            </w:r>
            <w:r w:rsidR="00FF72C7" w:rsidRPr="0053628A">
              <w:rPr>
                <w:rFonts w:ascii="Book Antiqua" w:hAnsi="Book Antiqua" w:cs="Times New Roman"/>
                <w:smallCaps/>
                <w:color w:val="7F7F7F" w:themeColor="text1" w:themeTint="80"/>
                <w:sz w:val="48"/>
                <w:szCs w:val="48"/>
              </w:rPr>
              <w:t>Ответы на типовые вопросы по примене</w:t>
            </w:r>
            <w:r w:rsidRPr="0053628A">
              <w:rPr>
                <w:rFonts w:ascii="Book Antiqua" w:hAnsi="Book Antiqua" w:cs="Times New Roman"/>
                <w:smallCaps/>
                <w:color w:val="7F7F7F" w:themeColor="text1" w:themeTint="80"/>
                <w:sz w:val="48"/>
                <w:szCs w:val="48"/>
              </w:rPr>
              <w:t xml:space="preserve">нию профессиональных </w:t>
            </w:r>
            <w:proofErr w:type="gramStart"/>
            <w:r w:rsidRPr="0053628A">
              <w:rPr>
                <w:rFonts w:ascii="Book Antiqua" w:hAnsi="Book Antiqua" w:cs="Times New Roman"/>
                <w:smallCaps/>
                <w:color w:val="7F7F7F" w:themeColor="text1" w:themeTint="80"/>
                <w:sz w:val="48"/>
                <w:szCs w:val="48"/>
              </w:rPr>
              <w:t>стандартов</w:t>
            </w:r>
            <w:r w:rsidR="00FF72C7" w:rsidRPr="0053628A">
              <w:rPr>
                <w:rFonts w:ascii="Book Antiqua" w:hAnsi="Book Antiqua" w:cs="Times New Roman"/>
                <w:smallCaps/>
                <w:color w:val="7F7F7F" w:themeColor="text1" w:themeTint="80"/>
                <w:sz w:val="48"/>
                <w:szCs w:val="48"/>
              </w:rPr>
              <w:br/>
              <w:t>(</w:t>
            </w:r>
            <w:proofErr w:type="gramEnd"/>
            <w:r w:rsidR="00FF72C7" w:rsidRPr="0053628A">
              <w:rPr>
                <w:rFonts w:ascii="Book Antiqua" w:hAnsi="Book Antiqua" w:cs="Times New Roman"/>
                <w:smallCaps/>
                <w:color w:val="7F7F7F" w:themeColor="text1" w:themeTint="80"/>
                <w:sz w:val="48"/>
                <w:szCs w:val="48"/>
              </w:rPr>
              <w:t>вместе с "Информацией Министерства труда и социальной защиты Российской Федерации по вопросам применения профессиональных стандартов")</w:t>
            </w:r>
          </w:p>
        </w:tc>
      </w:tr>
      <w:tr w:rsidR="0053628A" w:rsidRPr="0053628A">
        <w:trPr>
          <w:trHeight w:hRule="exact" w:val="3031"/>
        </w:trPr>
        <w:tc>
          <w:tcPr>
            <w:tcW w:w="10716" w:type="dxa"/>
            <w:vAlign w:val="center"/>
          </w:tcPr>
          <w:p w:rsidR="00FF72C7" w:rsidRPr="0053628A" w:rsidRDefault="00FF72C7">
            <w:pPr>
              <w:pStyle w:val="ConsPlusTitlePage"/>
              <w:jc w:val="center"/>
              <w:rPr>
                <w:rFonts w:ascii="Times New Roman" w:hAnsi="Times New Roman" w:cs="Times New Roman"/>
                <w:sz w:val="28"/>
                <w:szCs w:val="28"/>
              </w:rPr>
            </w:pPr>
            <w:r w:rsidRPr="0053628A">
              <w:rPr>
                <w:rFonts w:ascii="Times New Roman" w:hAnsi="Times New Roman" w:cs="Times New Roman"/>
                <w:sz w:val="28"/>
                <w:szCs w:val="28"/>
              </w:rPr>
              <w:t> </w:t>
            </w:r>
          </w:p>
        </w:tc>
      </w:tr>
    </w:tbl>
    <w:p w:rsidR="00FF72C7" w:rsidRPr="0053628A" w:rsidRDefault="00FF72C7">
      <w:pPr>
        <w:widowControl w:val="0"/>
        <w:autoSpaceDE w:val="0"/>
        <w:autoSpaceDN w:val="0"/>
        <w:adjustRightInd w:val="0"/>
        <w:spacing w:after="0" w:line="240" w:lineRule="auto"/>
        <w:rPr>
          <w:rFonts w:ascii="Times New Roman" w:hAnsi="Times New Roman"/>
          <w:sz w:val="24"/>
          <w:szCs w:val="24"/>
        </w:rPr>
        <w:sectPr w:rsidR="00FF72C7" w:rsidRPr="0053628A">
          <w:pgSz w:w="11906" w:h="16838"/>
          <w:pgMar w:top="841" w:right="595" w:bottom="841" w:left="595" w:header="0" w:footer="0" w:gutter="0"/>
          <w:cols w:space="720"/>
          <w:noEndnote/>
        </w:sectPr>
      </w:pPr>
    </w:p>
    <w:p w:rsidR="00FF72C7" w:rsidRPr="0053628A" w:rsidRDefault="00FF72C7">
      <w:pPr>
        <w:pStyle w:val="ConsPlusNormal"/>
        <w:jc w:val="both"/>
        <w:outlineLvl w:val="0"/>
        <w:rPr>
          <w:rFonts w:ascii="Times New Roman" w:hAnsi="Times New Roman" w:cs="Times New Roman"/>
        </w:rPr>
      </w:pPr>
    </w:p>
    <w:p w:rsidR="00FF72C7" w:rsidRPr="0053628A" w:rsidRDefault="00FF72C7">
      <w:pPr>
        <w:pStyle w:val="ConsPlusTitle"/>
        <w:jc w:val="center"/>
        <w:outlineLvl w:val="0"/>
        <w:rPr>
          <w:rFonts w:ascii="Times New Roman" w:hAnsi="Times New Roman" w:cs="Times New Roman"/>
        </w:rPr>
      </w:pPr>
      <w:r w:rsidRPr="0053628A">
        <w:rPr>
          <w:rFonts w:ascii="Times New Roman" w:hAnsi="Times New Roman" w:cs="Times New Roman"/>
        </w:rPr>
        <w:t>МИНИСТЕРСТВО ТРУДА И СОЦИАЛЬНОЙ ЗАЩИТЫ РОССИЙСКОЙ ФЕДЕРАЦИИ</w:t>
      </w:r>
    </w:p>
    <w:p w:rsidR="00FF72C7" w:rsidRPr="0053628A" w:rsidRDefault="00FF72C7">
      <w:pPr>
        <w:pStyle w:val="ConsPlusTitle"/>
        <w:jc w:val="center"/>
        <w:rPr>
          <w:rFonts w:ascii="Times New Roman" w:hAnsi="Times New Roman" w:cs="Times New Roman"/>
        </w:rPr>
      </w:pPr>
    </w:p>
    <w:p w:rsidR="00FF72C7" w:rsidRPr="0053628A" w:rsidRDefault="00FF72C7">
      <w:pPr>
        <w:pStyle w:val="ConsPlusTitle"/>
        <w:jc w:val="center"/>
        <w:rPr>
          <w:rFonts w:ascii="Times New Roman" w:hAnsi="Times New Roman" w:cs="Times New Roman"/>
        </w:rPr>
      </w:pPr>
      <w:r w:rsidRPr="0053628A">
        <w:rPr>
          <w:rFonts w:ascii="Times New Roman" w:hAnsi="Times New Roman" w:cs="Times New Roman"/>
        </w:rPr>
        <w:t>ПИСЬМО</w:t>
      </w:r>
    </w:p>
    <w:p w:rsidR="00FF72C7" w:rsidRPr="0053628A" w:rsidRDefault="00FF72C7">
      <w:pPr>
        <w:pStyle w:val="ConsPlusTitle"/>
        <w:jc w:val="center"/>
        <w:rPr>
          <w:rFonts w:ascii="Times New Roman" w:hAnsi="Times New Roman" w:cs="Times New Roman"/>
        </w:rPr>
      </w:pPr>
      <w:r w:rsidRPr="0053628A">
        <w:rPr>
          <w:rFonts w:ascii="Times New Roman" w:hAnsi="Times New Roman" w:cs="Times New Roman"/>
        </w:rPr>
        <w:t>от 4 апреля 2016 г. N 14-0/10/В-2253</w:t>
      </w:r>
    </w:p>
    <w:p w:rsidR="00FF72C7" w:rsidRPr="0053628A" w:rsidRDefault="00FF72C7">
      <w:pPr>
        <w:pStyle w:val="ConsPlusNormal"/>
        <w:jc w:val="both"/>
        <w:rPr>
          <w:rFonts w:ascii="Times New Roman" w:hAnsi="Times New Roman" w:cs="Times New Roman"/>
        </w:rPr>
      </w:pP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В Министерство труда и социальной защиты Российской Федерации в связи с вступлением в силу с 1 июля 2016 г. Федерального закона от 2 мая 2015 г. N 122-ФЗ "О внесении изменений в Трудовой кодекс Российской Федерации и статьи 11 и 73 Федерального закона "Об образовании в Российской Федерации" поступают многочисленные вопросы организаций и граждан по применению профессиональных стандартов.</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 xml:space="preserve">Минтрудом России подготовлены </w:t>
      </w:r>
      <w:hyperlink w:anchor="Par18" w:tooltip="ИНФОРМАЦИЯ" w:history="1">
        <w:r w:rsidRPr="0053628A">
          <w:rPr>
            <w:rFonts w:ascii="Times New Roman" w:hAnsi="Times New Roman" w:cs="Times New Roman"/>
          </w:rPr>
          <w:t>ответы</w:t>
        </w:r>
      </w:hyperlink>
      <w:r w:rsidRPr="0053628A">
        <w:rPr>
          <w:rFonts w:ascii="Times New Roman" w:hAnsi="Times New Roman" w:cs="Times New Roman"/>
        </w:rPr>
        <w:t xml:space="preserve"> на типовые вопросы по применению профессиональных стандартов и размещены на официальном сайте Минтруда России в системе Интернет.</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 xml:space="preserve">Направляем данные </w:t>
      </w:r>
      <w:hyperlink w:anchor="Par18" w:tooltip="ИНФОРМАЦИЯ" w:history="1">
        <w:r w:rsidRPr="0053628A">
          <w:rPr>
            <w:rFonts w:ascii="Times New Roman" w:hAnsi="Times New Roman" w:cs="Times New Roman"/>
          </w:rPr>
          <w:t>материалы</w:t>
        </w:r>
      </w:hyperlink>
      <w:r w:rsidRPr="0053628A">
        <w:rPr>
          <w:rFonts w:ascii="Times New Roman" w:hAnsi="Times New Roman" w:cs="Times New Roman"/>
        </w:rPr>
        <w:t xml:space="preserve"> для организации разъяснительной работы. Минтруд России готов принять участие в данной работе, в том числе, в формате </w:t>
      </w:r>
      <w:proofErr w:type="spellStart"/>
      <w:r w:rsidRPr="0053628A">
        <w:rPr>
          <w:rFonts w:ascii="Times New Roman" w:hAnsi="Times New Roman" w:cs="Times New Roman"/>
        </w:rPr>
        <w:t>вебинаров</w:t>
      </w:r>
      <w:proofErr w:type="spellEnd"/>
      <w:r w:rsidRPr="0053628A">
        <w:rPr>
          <w:rFonts w:ascii="Times New Roman" w:hAnsi="Times New Roman" w:cs="Times New Roman"/>
        </w:rPr>
        <w:t>.</w:t>
      </w:r>
    </w:p>
    <w:p w:rsidR="00FF72C7" w:rsidRPr="0053628A" w:rsidRDefault="00FF72C7">
      <w:pPr>
        <w:pStyle w:val="ConsPlusNormal"/>
        <w:jc w:val="both"/>
        <w:rPr>
          <w:rFonts w:ascii="Times New Roman" w:hAnsi="Times New Roman" w:cs="Times New Roman"/>
        </w:rPr>
      </w:pPr>
    </w:p>
    <w:p w:rsidR="00FF72C7" w:rsidRPr="0053628A" w:rsidRDefault="00FF72C7">
      <w:pPr>
        <w:pStyle w:val="ConsPlusNormal"/>
        <w:jc w:val="right"/>
        <w:rPr>
          <w:rFonts w:ascii="Times New Roman" w:hAnsi="Times New Roman" w:cs="Times New Roman"/>
        </w:rPr>
      </w:pPr>
      <w:r w:rsidRPr="0053628A">
        <w:rPr>
          <w:rFonts w:ascii="Times New Roman" w:hAnsi="Times New Roman" w:cs="Times New Roman"/>
        </w:rPr>
        <w:t>Л.Ю.ЕЛЬЦОВА</w:t>
      </w:r>
    </w:p>
    <w:p w:rsidR="00FF72C7" w:rsidRPr="0053628A" w:rsidRDefault="00FF72C7">
      <w:pPr>
        <w:pStyle w:val="ConsPlusNormal"/>
        <w:jc w:val="both"/>
        <w:rPr>
          <w:rFonts w:ascii="Times New Roman" w:hAnsi="Times New Roman" w:cs="Times New Roman"/>
        </w:rPr>
      </w:pPr>
    </w:p>
    <w:p w:rsidR="003723AD" w:rsidRDefault="003723AD" w:rsidP="003723AD">
      <w:pPr>
        <w:pStyle w:val="ConsPlusTitlePage"/>
        <w:rPr>
          <w:rFonts w:ascii="Book Antiqua" w:hAnsi="Book Antiqua"/>
          <w:i/>
          <w:color w:val="C00000"/>
          <w:sz w:val="22"/>
          <w:szCs w:val="24"/>
        </w:rPr>
      </w:pPr>
      <w:r w:rsidRPr="007E60EE">
        <w:rPr>
          <w:rFonts w:ascii="Book Antiqua" w:hAnsi="Book Antiqua" w:cs="Times New Roman"/>
          <w:i/>
          <w:color w:val="C00000"/>
          <w:sz w:val="22"/>
          <w:szCs w:val="24"/>
        </w:rPr>
        <w:t xml:space="preserve">Все </w:t>
      </w:r>
      <w:r>
        <w:rPr>
          <w:rFonts w:ascii="Book Antiqua" w:hAnsi="Book Antiqua" w:cs="Times New Roman"/>
          <w:i/>
          <w:color w:val="C00000"/>
          <w:sz w:val="22"/>
          <w:szCs w:val="24"/>
        </w:rPr>
        <w:t xml:space="preserve">декретированные контингенты работников </w:t>
      </w:r>
      <w:r w:rsidRPr="007E60EE">
        <w:rPr>
          <w:rFonts w:ascii="Book Antiqua" w:hAnsi="Book Antiqua" w:cs="Times New Roman"/>
          <w:i/>
          <w:color w:val="C00000"/>
          <w:sz w:val="22"/>
          <w:szCs w:val="24"/>
        </w:rPr>
        <w:t xml:space="preserve">организаций </w:t>
      </w:r>
      <w:r>
        <w:rPr>
          <w:rFonts w:ascii="Book Antiqua" w:hAnsi="Book Antiqua" w:cs="Times New Roman"/>
          <w:i/>
          <w:color w:val="C00000"/>
          <w:sz w:val="22"/>
          <w:szCs w:val="24"/>
        </w:rPr>
        <w:t xml:space="preserve">любой формы собственности </w:t>
      </w:r>
      <w:r w:rsidRPr="007E60EE">
        <w:rPr>
          <w:rFonts w:ascii="Book Antiqua" w:hAnsi="Book Antiqua" w:cs="Times New Roman"/>
          <w:i/>
          <w:color w:val="C00000"/>
          <w:sz w:val="22"/>
          <w:szCs w:val="24"/>
        </w:rPr>
        <w:t>подлежат прохождению предварительных и периодических медицинских осмотров</w:t>
      </w:r>
      <w:r>
        <w:rPr>
          <w:rFonts w:ascii="Book Antiqua" w:hAnsi="Book Antiqua" w:cs="Times New Roman"/>
          <w:i/>
          <w:color w:val="C00000"/>
          <w:sz w:val="22"/>
          <w:szCs w:val="24"/>
        </w:rPr>
        <w:t>.</w:t>
      </w:r>
      <w:r w:rsidRPr="007E60EE">
        <w:rPr>
          <w:rFonts w:ascii="Book Antiqua" w:hAnsi="Book Antiqua" w:cs="Times New Roman"/>
          <w:i/>
          <w:color w:val="C00000"/>
          <w:sz w:val="22"/>
          <w:szCs w:val="24"/>
        </w:rPr>
        <w:t xml:space="preserve"> </w:t>
      </w:r>
      <w:r>
        <w:rPr>
          <w:rFonts w:ascii="Book Antiqua" w:hAnsi="Book Antiqua" w:cs="Times New Roman"/>
          <w:i/>
          <w:color w:val="C00000"/>
          <w:sz w:val="22"/>
          <w:szCs w:val="24"/>
        </w:rPr>
        <w:t>Перечень контингентов определяется</w:t>
      </w:r>
      <w:r w:rsidRPr="007E60EE">
        <w:rPr>
          <w:rFonts w:ascii="Book Antiqua" w:hAnsi="Book Antiqua" w:cs="Times New Roman"/>
          <w:i/>
          <w:color w:val="C00000"/>
          <w:sz w:val="22"/>
          <w:szCs w:val="24"/>
        </w:rPr>
        <w:t xml:space="preserve"> Приложени</w:t>
      </w:r>
      <w:r>
        <w:rPr>
          <w:rFonts w:ascii="Book Antiqua" w:hAnsi="Book Antiqua" w:cs="Times New Roman"/>
          <w:i/>
          <w:color w:val="C00000"/>
          <w:sz w:val="22"/>
          <w:szCs w:val="24"/>
        </w:rPr>
        <w:t>ем</w:t>
      </w:r>
      <w:r w:rsidRPr="007E60EE">
        <w:rPr>
          <w:rFonts w:ascii="Book Antiqua" w:hAnsi="Book Antiqua" w:cs="Times New Roman"/>
          <w:i/>
          <w:color w:val="C00000"/>
          <w:sz w:val="22"/>
          <w:szCs w:val="24"/>
        </w:rPr>
        <w:t xml:space="preserve"> 1 к </w:t>
      </w:r>
      <w:hyperlink r:id="rId7" w:history="1">
        <w:r w:rsidRPr="006668E9">
          <w:rPr>
            <w:rStyle w:val="a7"/>
            <w:rFonts w:ascii="Book Antiqua" w:hAnsi="Book Antiqua" w:cs="Tahoma"/>
            <w:i/>
            <w:color w:val="C00000"/>
            <w:sz w:val="22"/>
            <w:szCs w:val="24"/>
          </w:rPr>
          <w:t>Приказу Минздрава России от 28.01.2021 N 29н</w:t>
        </w:r>
      </w:hyperlink>
      <w:r w:rsidRPr="006668E9">
        <w:rPr>
          <w:rFonts w:ascii="Book Antiqua" w:hAnsi="Book Antiqua"/>
          <w:i/>
          <w:color w:val="C00000"/>
          <w:sz w:val="22"/>
          <w:szCs w:val="24"/>
        </w:rPr>
        <w:t>.</w:t>
      </w:r>
      <w:r w:rsidRPr="007E60EE">
        <w:rPr>
          <w:rFonts w:ascii="Book Antiqua" w:hAnsi="Book Antiqua"/>
          <w:i/>
          <w:color w:val="C00000"/>
          <w:sz w:val="22"/>
          <w:szCs w:val="24"/>
        </w:rPr>
        <w:t xml:space="preserve"> Результаты осмотров регистрируются в </w:t>
      </w:r>
      <w:proofErr w:type="spellStart"/>
      <w:r w:rsidRPr="007E60EE">
        <w:rPr>
          <w:rFonts w:ascii="Book Antiqua" w:hAnsi="Book Antiqua"/>
          <w:i/>
          <w:color w:val="C00000"/>
          <w:sz w:val="22"/>
          <w:szCs w:val="24"/>
        </w:rPr>
        <w:t>Роспотребнадзоре</w:t>
      </w:r>
      <w:proofErr w:type="spellEnd"/>
      <w:r>
        <w:rPr>
          <w:rFonts w:ascii="Book Antiqua" w:hAnsi="Book Antiqua"/>
          <w:i/>
          <w:color w:val="C00000"/>
          <w:sz w:val="22"/>
          <w:szCs w:val="24"/>
        </w:rPr>
        <w:t xml:space="preserve">, </w:t>
      </w:r>
      <w:proofErr w:type="gramStart"/>
      <w:r w:rsidRPr="00B353C5">
        <w:rPr>
          <w:rFonts w:ascii="Book Antiqua" w:hAnsi="Book Antiqua"/>
          <w:i/>
          <w:color w:val="C00000"/>
          <w:sz w:val="22"/>
          <w:szCs w:val="24"/>
        </w:rPr>
        <w:t>центр</w:t>
      </w:r>
      <w:r>
        <w:rPr>
          <w:rFonts w:ascii="Book Antiqua" w:hAnsi="Book Antiqua"/>
          <w:i/>
          <w:color w:val="C00000"/>
          <w:sz w:val="22"/>
          <w:szCs w:val="24"/>
        </w:rPr>
        <w:t xml:space="preserve">е </w:t>
      </w:r>
      <w:r w:rsidRPr="00B353C5">
        <w:rPr>
          <w:rFonts w:ascii="Book Antiqua" w:hAnsi="Book Antiqua"/>
          <w:i/>
          <w:color w:val="C00000"/>
          <w:sz w:val="22"/>
          <w:szCs w:val="24"/>
        </w:rPr>
        <w:t xml:space="preserve"> </w:t>
      </w:r>
      <w:proofErr w:type="spellStart"/>
      <w:r w:rsidRPr="00B353C5">
        <w:rPr>
          <w:rFonts w:ascii="Book Antiqua" w:hAnsi="Book Antiqua"/>
          <w:i/>
          <w:color w:val="C00000"/>
          <w:sz w:val="22"/>
          <w:szCs w:val="24"/>
        </w:rPr>
        <w:t>профпатологии</w:t>
      </w:r>
      <w:proofErr w:type="spellEnd"/>
      <w:proofErr w:type="gramEnd"/>
      <w:r w:rsidRPr="00B353C5">
        <w:rPr>
          <w:rFonts w:ascii="Book Antiqua" w:hAnsi="Book Antiqua"/>
          <w:i/>
          <w:color w:val="C00000"/>
          <w:sz w:val="22"/>
          <w:szCs w:val="24"/>
        </w:rPr>
        <w:t xml:space="preserve"> субъекта Российской Федерации и Фонд</w:t>
      </w:r>
      <w:r>
        <w:rPr>
          <w:rFonts w:ascii="Book Antiqua" w:hAnsi="Book Antiqua"/>
          <w:i/>
          <w:color w:val="C00000"/>
          <w:sz w:val="22"/>
          <w:szCs w:val="24"/>
        </w:rPr>
        <w:t>е</w:t>
      </w:r>
      <w:r w:rsidRPr="00B353C5">
        <w:rPr>
          <w:rFonts w:ascii="Book Antiqua" w:hAnsi="Book Antiqua"/>
          <w:i/>
          <w:color w:val="C00000"/>
          <w:sz w:val="22"/>
          <w:szCs w:val="24"/>
        </w:rPr>
        <w:t xml:space="preserve"> социального страхования</w:t>
      </w:r>
      <w:r>
        <w:rPr>
          <w:rFonts w:ascii="Book Antiqua" w:hAnsi="Book Antiqua"/>
          <w:i/>
          <w:color w:val="C00000"/>
          <w:sz w:val="22"/>
          <w:szCs w:val="24"/>
        </w:rPr>
        <w:t xml:space="preserve"> </w:t>
      </w:r>
      <w:r w:rsidRPr="007E60EE">
        <w:rPr>
          <w:rFonts w:ascii="Book Antiqua" w:hAnsi="Book Antiqua"/>
          <w:i/>
          <w:color w:val="C00000"/>
          <w:sz w:val="22"/>
          <w:szCs w:val="24"/>
        </w:rPr>
        <w:t>ежегодно, документация подлежит хранению в течение 50 лет.</w:t>
      </w:r>
    </w:p>
    <w:p w:rsidR="003723AD" w:rsidRPr="007E60EE" w:rsidRDefault="003723AD" w:rsidP="003723AD">
      <w:pPr>
        <w:pStyle w:val="ConsPlusTitlePage"/>
        <w:rPr>
          <w:rFonts w:ascii="Book Antiqua" w:hAnsi="Book Antiqua"/>
          <w:i/>
          <w:color w:val="C00000"/>
          <w:sz w:val="22"/>
          <w:szCs w:val="24"/>
        </w:rPr>
      </w:pPr>
    </w:p>
    <w:p w:rsidR="003723AD" w:rsidRPr="004A24D4" w:rsidRDefault="003723AD" w:rsidP="003723AD">
      <w:pPr>
        <w:pStyle w:val="ConsPlusTitlePage"/>
        <w:rPr>
          <w:rFonts w:ascii="Book Antiqua" w:hAnsi="Book Antiqua"/>
          <w:i/>
          <w:color w:val="C00000"/>
          <w:sz w:val="22"/>
          <w:szCs w:val="22"/>
        </w:rPr>
      </w:pPr>
      <w:r w:rsidRPr="004A24D4">
        <w:rPr>
          <w:rFonts w:ascii="Book Antiqua" w:hAnsi="Book Antiqua"/>
          <w:i/>
          <w:color w:val="C00000"/>
          <w:sz w:val="22"/>
          <w:szCs w:val="22"/>
        </w:rPr>
        <w:t xml:space="preserve"> Специальной оценке условий труда подлежат все рабочие места в любой организации.</w:t>
      </w:r>
    </w:p>
    <w:p w:rsidR="003723AD" w:rsidRPr="004A24D4" w:rsidRDefault="003723AD" w:rsidP="003723AD">
      <w:pPr>
        <w:pStyle w:val="ConsPlusTitlePage"/>
        <w:rPr>
          <w:rFonts w:ascii="Book Antiqua" w:hAnsi="Book Antiqua"/>
          <w:i/>
          <w:color w:val="C00000"/>
          <w:sz w:val="22"/>
          <w:szCs w:val="22"/>
        </w:rPr>
      </w:pPr>
    </w:p>
    <w:p w:rsidR="003723AD" w:rsidRPr="005E65CE" w:rsidRDefault="003723AD" w:rsidP="003723AD">
      <w:pPr>
        <w:rPr>
          <w:rFonts w:ascii="Book Antiqua" w:hAnsi="Book Antiqua"/>
          <w:i/>
          <w:color w:val="C00000"/>
        </w:rPr>
      </w:pPr>
      <w:r>
        <w:rPr>
          <w:rFonts w:ascii="Book Antiqua" w:hAnsi="Book Antiqua"/>
          <w:i/>
          <w:color w:val="C00000"/>
        </w:rPr>
        <w:t xml:space="preserve">Информация по ссылке: </w:t>
      </w:r>
      <w:hyperlink r:id="rId8" w:history="1">
        <w:r w:rsidRPr="005E65CE">
          <w:rPr>
            <w:rStyle w:val="a7"/>
            <w:rFonts w:ascii="Book Antiqua" w:hAnsi="Book Antiqua" w:cstheme="minorBidi"/>
            <w:i/>
            <w:color w:val="C00000"/>
          </w:rPr>
          <w:t>http://www.svetlanasuvorova.ru/</w:t>
        </w:r>
      </w:hyperlink>
    </w:p>
    <w:p w:rsidR="00FF72C7" w:rsidRPr="0053628A" w:rsidRDefault="00FF72C7">
      <w:pPr>
        <w:pStyle w:val="ConsPlusNormal"/>
        <w:jc w:val="right"/>
        <w:outlineLvl w:val="0"/>
        <w:rPr>
          <w:rFonts w:ascii="Times New Roman" w:hAnsi="Times New Roman" w:cs="Times New Roman"/>
        </w:rPr>
      </w:pPr>
      <w:bookmarkStart w:id="0" w:name="_GoBack"/>
      <w:bookmarkEnd w:id="0"/>
      <w:r w:rsidRPr="0053628A">
        <w:rPr>
          <w:rFonts w:ascii="Times New Roman" w:hAnsi="Times New Roman" w:cs="Times New Roman"/>
        </w:rPr>
        <w:t>Приложение</w:t>
      </w:r>
    </w:p>
    <w:p w:rsidR="00FF72C7" w:rsidRPr="0053628A" w:rsidRDefault="00FF72C7">
      <w:pPr>
        <w:pStyle w:val="ConsPlusNormal"/>
        <w:jc w:val="both"/>
        <w:rPr>
          <w:rFonts w:ascii="Times New Roman" w:hAnsi="Times New Roman" w:cs="Times New Roman"/>
        </w:rPr>
      </w:pPr>
    </w:p>
    <w:p w:rsidR="00FF72C7" w:rsidRPr="0053628A" w:rsidRDefault="00FF72C7">
      <w:pPr>
        <w:pStyle w:val="ConsPlusTitle"/>
        <w:jc w:val="center"/>
        <w:rPr>
          <w:rFonts w:ascii="Times New Roman" w:hAnsi="Times New Roman" w:cs="Times New Roman"/>
        </w:rPr>
      </w:pPr>
      <w:bookmarkStart w:id="1" w:name="Par18"/>
      <w:bookmarkEnd w:id="1"/>
      <w:r w:rsidRPr="0053628A">
        <w:rPr>
          <w:rFonts w:ascii="Times New Roman" w:hAnsi="Times New Roman" w:cs="Times New Roman"/>
        </w:rPr>
        <w:t>ИНФОРМАЦИЯ</w:t>
      </w:r>
    </w:p>
    <w:p w:rsidR="00FF72C7" w:rsidRPr="0053628A" w:rsidRDefault="00FF72C7">
      <w:pPr>
        <w:pStyle w:val="ConsPlusTitle"/>
        <w:jc w:val="center"/>
        <w:rPr>
          <w:rFonts w:ascii="Times New Roman" w:hAnsi="Times New Roman" w:cs="Times New Roman"/>
        </w:rPr>
      </w:pPr>
      <w:r w:rsidRPr="0053628A">
        <w:rPr>
          <w:rFonts w:ascii="Times New Roman" w:hAnsi="Times New Roman" w:cs="Times New Roman"/>
        </w:rPr>
        <w:t>МИНИСТЕРСТВА ТРУДА И СОЦИАЛЬНОЙ ЗАЩИТЫ РОССИЙСКОЙ ФЕДЕРАЦИИ</w:t>
      </w:r>
    </w:p>
    <w:p w:rsidR="00FF72C7" w:rsidRPr="0053628A" w:rsidRDefault="00FF72C7">
      <w:pPr>
        <w:pStyle w:val="ConsPlusTitle"/>
        <w:jc w:val="center"/>
        <w:rPr>
          <w:rFonts w:ascii="Times New Roman" w:hAnsi="Times New Roman" w:cs="Times New Roman"/>
        </w:rPr>
      </w:pPr>
      <w:r w:rsidRPr="0053628A">
        <w:rPr>
          <w:rFonts w:ascii="Times New Roman" w:hAnsi="Times New Roman" w:cs="Times New Roman"/>
        </w:rPr>
        <w:t>ПО ВОПРОСАМ ПРИМЕНЕНИЯ ПРОФЕССИОНАЛЬНЫХ СТАНДАРТОВ</w:t>
      </w:r>
    </w:p>
    <w:p w:rsidR="00FF72C7" w:rsidRPr="0053628A" w:rsidRDefault="00FF72C7">
      <w:pPr>
        <w:pStyle w:val="ConsPlusNormal"/>
        <w:jc w:val="both"/>
        <w:rPr>
          <w:rFonts w:ascii="Times New Roman" w:hAnsi="Times New Roman" w:cs="Times New Roman"/>
        </w:rPr>
      </w:pP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1. Зачем разрабатываются и принимаются профессиональные стандарты?</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Профессиональные стандарты носят комплексный характер и раскрывают необходимые для выполнения работником трудовых функций знания и умения. Поддержание в актуализированном состоянии информации о востребованных и перспективных профессиях, современных требованиях к работникам и учет этих требований в системе подготовки кадров должно обеспечиваться государством. Повышение профессионального уровня работников оказывает существенное влияние на производительность труда, снижение издержек работодателей на адаптацию работников при трудоустройстве, а также на конкурентоспособность работников на рынке труда.</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По вопросам, возникающим на практике в связи с внедрением профессиональных стандартов, следует отметить, что ответственность и полномочия по принятию кадровых решений являются полномочиями работодателей, а профессиональный стандарт задает планку современных требований и ориентиров для выстраивания кадровой политики.</w:t>
      </w:r>
    </w:p>
    <w:p w:rsidR="00FF72C7" w:rsidRPr="0053628A" w:rsidRDefault="00FF72C7">
      <w:pPr>
        <w:pStyle w:val="ConsPlusNormal"/>
        <w:jc w:val="both"/>
        <w:rPr>
          <w:rFonts w:ascii="Times New Roman" w:hAnsi="Times New Roman" w:cs="Times New Roman"/>
        </w:rPr>
      </w:pP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2. Как часто профессиональные стандарты будут обновляться/добавляться?</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Разработка профессиональных стандартов в соответствии с постановлением Правительства Российской Федерации от 22 января 2013 г. N 23 "О Правилах разработки, утверждения и применения профессиональных стандартов" (далее - постановление Правительства Российской Федерации от 22 января 2013 г. N 23) осуществляется с учетом приоритетных направлений развития экономики и предложений Национального совета при Президенте Российской Федерации по профессиональным квалификациям.</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Необходимость разработки профессиональных стандартов определяется также с учетом информации в Справочнике востребованных на рынке труда, новых и перспективных профессий (в редакции приказа Минтруда России от 10 февраля 2016 г. N 46).</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Проекты профессиональных стандартов могут быть инициированы и внесены на рассмотрение в Минтруд России в установленном порядке различными организациями.</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 xml:space="preserve">Изменения в профессиональные стандарты вносятся, как и в другие нормативные акты, при наличии </w:t>
      </w:r>
      <w:r w:rsidRPr="0053628A">
        <w:rPr>
          <w:rFonts w:ascii="Times New Roman" w:hAnsi="Times New Roman" w:cs="Times New Roman"/>
        </w:rPr>
        <w:lastRenderedPageBreak/>
        <w:t>обоснованных предложений либо соответствующих изменений в законодательстве Российской Федерации. Внесение изменений осуществляется в том же порядке, как разработка и утверждение в соответствии с постановлением Правительства Российской Федерации от 22 января 2013 г. N 23.</w:t>
      </w:r>
    </w:p>
    <w:p w:rsidR="00FF72C7" w:rsidRPr="0053628A" w:rsidRDefault="00FF72C7">
      <w:pPr>
        <w:pStyle w:val="ConsPlusNormal"/>
        <w:jc w:val="both"/>
        <w:rPr>
          <w:rFonts w:ascii="Times New Roman" w:hAnsi="Times New Roman" w:cs="Times New Roman"/>
        </w:rPr>
      </w:pP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3. Где можно ознакомиться с содержанием профессиональных стандартов? Как узнавать о планах разработки (актуализации) профессиональных стандартов, о внесении изменений в профессиональные стандарты или принятии новых профессиональных стандартов?</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Минтруд России ведет Реестр профессиональных стандартов (перечень видов профессиональной деятельности), который размещается на сайтах Минтруда России (http://profstandart.rosmintrud.ru) и Научно-методического центра системы профессиональных квалификаций ФГБУ "Научно-исследовательский институт труда и социального страхования" Минтруда России (http://vet-bc.ru). На этих же сайтах размещается вся информация о профессиональных стандартах, в том числе о разрабатываемых и планируемых к разработке.</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Кроме того, профессиональные стандарты, утвержденные приказами Минтруда России, размещаются в справочных системах правовой информации.</w:t>
      </w:r>
    </w:p>
    <w:p w:rsidR="00FF72C7" w:rsidRPr="0053628A" w:rsidRDefault="00FF72C7">
      <w:pPr>
        <w:pStyle w:val="ConsPlusNormal"/>
        <w:jc w:val="both"/>
        <w:rPr>
          <w:rFonts w:ascii="Times New Roman" w:hAnsi="Times New Roman" w:cs="Times New Roman"/>
        </w:rPr>
      </w:pP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4. Будут ли отменены ЕТКС и ЕКС?</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В перспективе планируется замена ЕТКС и ЕКС профессиональными стандартами, а также отдельными отраслевыми требованиями к квалификации работников, утверждаемыми законодательными и иными нормативными правовыми актами, которые имеются уже и в настоящее время (например, в сфере транспорта и др.). Но такая замена, по мнению Минтруда России, будет происходить в течение достаточно длительного периода.</w:t>
      </w:r>
    </w:p>
    <w:p w:rsidR="00FF72C7" w:rsidRPr="0053628A" w:rsidRDefault="00FF72C7">
      <w:pPr>
        <w:pStyle w:val="ConsPlusNormal"/>
        <w:jc w:val="both"/>
        <w:rPr>
          <w:rFonts w:ascii="Times New Roman" w:hAnsi="Times New Roman" w:cs="Times New Roman"/>
        </w:rPr>
      </w:pP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5. Если квалификационный справочник и профессиональный стандарт по аналогичным профессиям (должностям) содержат различные требования к квалификации, то какими документами должен пользоваться работодатель?</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Работодатель самостоятельно определяет, какой нормативный правовой акт он использует, за исключением случаев, предусмотренных федеральными законами и иными нормативными правовыми актами Российской Федерации.</w:t>
      </w:r>
    </w:p>
    <w:p w:rsidR="00FF72C7" w:rsidRPr="0053628A" w:rsidRDefault="00FF72C7">
      <w:pPr>
        <w:pStyle w:val="ConsPlusNormal"/>
        <w:jc w:val="both"/>
        <w:rPr>
          <w:rFonts w:ascii="Times New Roman" w:hAnsi="Times New Roman" w:cs="Times New Roman"/>
        </w:rPr>
      </w:pP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6. В каких случаях применение профессиональных стандартов является обязательным? Обязаны ли работодатели применять требования к квалификации работников, содержащиеся в профессиональных стандартах, в том числе при приеме на работу? Согласно статье 195.3 Трудового кодекса Российской Федерации (далее - ТК РФ) профессиональные стандарты применяются "в качестве основы для определения требований к квалификации работников". Каким образом должно определяться, что именно из требований должно быть положено в основу? Есть ли необходимый минимум? В каких случаях допустимо повышение, а в каких - снижение требований? В чем заключаются изменения с 1 июля 2016 года, если те требования к квалификации, в части которых будет обязателен профессиональный стандарт, ранее установлены законами и иными нормативными правовыми актами?</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ТК РФ устанавливает обязательность применения требований, содержащихся в профессиональных стандартах, в том числе при приеме работников на работу, в следующих случаях:</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согласно части второй статьи 57 ТК РФ наименование должностей, профессий, специальностей и квалификационные требования к ним должны соответствовать наименованиям и требованиям, указанным в квалификационных справочниках или профессиональных стандартах, если в соответствии с ТК РФ или иными федеральными законами с выполнением работ по этим должностям, профессиям, специальностям связано предоставление компенсаций и льгот либо наличие ограничений;</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согласно статье 195.3 ТК РФ требования к квалификации работников, содержащиеся в профессиональных стандартах, обязательны для работодателя в случаях, если они установлены ТК РФ, другими федеральными законами, иными нормативными правовыми актами Российской Федерации.</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В других случаях эти требования носят рекомендательный характер.</w:t>
      </w:r>
    </w:p>
    <w:p w:rsidR="00FF72C7" w:rsidRPr="0053628A" w:rsidRDefault="00FF72C7">
      <w:pPr>
        <w:pStyle w:val="ConsPlusNormal"/>
        <w:jc w:val="both"/>
        <w:rPr>
          <w:rFonts w:ascii="Times New Roman" w:hAnsi="Times New Roman" w:cs="Times New Roman"/>
        </w:rPr>
      </w:pP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7. Распространяется обязательность применения требований профессиональных стандартов на всех работодателей или только на государственные и муниципальные организации?</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Обязательность применения требований профессиональных стандартов установлена для случаев, предусмотренных статьями 57 и 195.3 ТК РФ, и не зависит от формы собственности организации или статуса работодателя.</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Что касается государственных и муниципальных организаций, то учитывая важность внедрения профессиональных стандартов для повышения производительности труда, обеспечения качества выполняемых работ (услуг), данным организациям следует провести анализ профессиональных компетенций работников на соответствие профессиональным стандартам, при необходимости составить план подготовки работников и дополнительного профессионального образования работников в рамках бюджета на соответствующий год.</w:t>
      </w:r>
    </w:p>
    <w:p w:rsidR="00FF72C7" w:rsidRPr="0053628A" w:rsidRDefault="00FF72C7">
      <w:pPr>
        <w:pStyle w:val="ConsPlusNormal"/>
        <w:jc w:val="both"/>
        <w:rPr>
          <w:rFonts w:ascii="Times New Roman" w:hAnsi="Times New Roman" w:cs="Times New Roman"/>
        </w:rPr>
      </w:pP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8. Утвержденные Минтрудом России профессиональные стандарты являются нормативными правовыми актами. Согласно части первой статьи 195.3 ТК РФ, если ТК РФ, другими федеральными законами, иными нормативными правовыми актами Российской Федерации установлены требования к квалификации, необходимой работнику для выполнения определенной трудовой функции, профессиональные стандарты в части указанных требований обязательны для применения работодателями. Означает ли данная норма, что содержащиеся в профессиональных стандартах требования являются обязательными для применения?</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Согласно статье 195.3 ТК РФ профессиональные стандарты обязательны для применения работодателями в части содержащихся в них требований к квалификации, необходимой работнику для выполнения определенной трудовой функции, предусмотренных ТК РФ, другими федеральными законами, иными нормативными правовыми актами Российской Федерации. Таким образом, только в части требований, установленных в ТК РФ, других федеральных законах, иных нормативных правовых актах Российской Федерации, требования профессионального стандарта являются обязательными.</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При применении вышеуказанного положения статьи 195.3 ТК РФ под иными нормативными правовыми актами имеются в виду постановления и распоряжения Правительства Российской Федерации, приказы федеральных органов исполнительной власти, которые устанавливают специальные требования к работникам, выполняющим те или иные трудовые обязанности, носящие нормативный правовой характер (например, приказы Минтранса России и др.). В этом случае, в части требований применяются данные нормативные правовые акты.</w:t>
      </w:r>
    </w:p>
    <w:p w:rsidR="00FF72C7" w:rsidRPr="0053628A" w:rsidRDefault="00FF72C7">
      <w:pPr>
        <w:pStyle w:val="ConsPlusNormal"/>
        <w:jc w:val="both"/>
        <w:rPr>
          <w:rFonts w:ascii="Times New Roman" w:hAnsi="Times New Roman" w:cs="Times New Roman"/>
        </w:rPr>
      </w:pP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9. Требования профессионального стандарта должны быть прописаны в трудовом договоре/должностной инструкции работника в полном объеме или могут быть какие-либо допущения?</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Работодатель определяет содержание трудового договора с учетом статьи 57 ТК РФ и должностные обязанности работников, при этом профессиональный стандарт может быть применен как рекомендательный методический документ, кроме содержащихся в нем требований, предусмотренных ТК РФ, другими федеральными законами, иными нормативными правовыми актами Российской Федерации.</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Работодатель применяет профессиональные стандарты для определения потребности в работниках с определенным уровнем квалификации, правильного подбора и расстановки кадров, рационального разделения и организации труда, разграничения функций, полномочий и ответственности между категориями работников, определения трудовых обязанностей работников с учетом особенностей применяемых технологий, организации подготовки (профессиональное образование и профессиональное обучение) и дополнительного профессионального образования работников, организации труда, установления систем оплаты труда.</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По вопросам, возникающим на практике в связи с внедрением профессиональных стандартов, следует отметить, что ответственность и полномочия по принятию кадровых решений являются полномочиями работодателей.</w:t>
      </w:r>
    </w:p>
    <w:p w:rsidR="00FF72C7" w:rsidRPr="0053628A" w:rsidRDefault="00FF72C7">
      <w:pPr>
        <w:pStyle w:val="ConsPlusNormal"/>
        <w:jc w:val="both"/>
        <w:rPr>
          <w:rFonts w:ascii="Times New Roman" w:hAnsi="Times New Roman" w:cs="Times New Roman"/>
        </w:rPr>
      </w:pP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10. Могут ли обязанности работников, требования к образованию и стажу измениться автоматически в связи с принятием профессионального стандарта? Может ли быть расторгнут трудовой договор с работником, если его уровень образования или стаж работы не соответствует указанным в профессиональном стандарте? Уволить его (если он отказывается проходить обучение)? В ТК РФ нет такого основания.</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Обязанности работников изменяться автоматически в связи с принятием профессионального стандарта не могут.</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Объективной основой изменения обязанностей, связанных с выполнением какой-либо работы (услуги), является изменение организационных или технологических условий труда (изменения в технике и технологии производства, структурная реорганизация производства, другие причины), и даже в этих случаях согласно статье 74 ТК РФ изменение трудовой функции работника по инициативе работодателя не допускается. Оно может осуществляться в соответствии со статьями 72, 72.1 ТК РФ на основе соглашения между работником и работодателем об изменении определенных сторонами условий трудового договора.</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По вопросам соответствия работников требованиям к образованию и стажу, содержащимся в профессиональных стандартах, обращаем внимание, что данные требования являются обязательными в случаях, когда с выполнением соответствующей работы связано наличие льгот, гарантий и ограничений, либо если соответствующие требования уже установлены ТК РФ, другими федеральными законами, иными нормативными правовыми актами Российской Федерации.</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Вступление в силу профессиональных стандартов не является основанием для увольнения работников. Допуск работника к выполнению трудовой функции является полномочием работодателя.</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 xml:space="preserve">Работодатель также вправе проводить аттестацию работников. Так, при применении квалификационных справочников и профессиональных стандартов лица, не имеющие специальной подготовки или стажа работы, установленных в разделе "Требования к квалификации", но обладающие достаточным практическим опытом и выполняющие качественно и в полном объеме возложенные на них должностные обязанности, по рекомендации аттестационной комиссии назначаются на соответствующие должности так же, как и лица, имеющие специальную </w:t>
      </w:r>
      <w:r w:rsidRPr="0053628A">
        <w:rPr>
          <w:rFonts w:ascii="Times New Roman" w:hAnsi="Times New Roman" w:cs="Times New Roman"/>
        </w:rPr>
        <w:lastRenderedPageBreak/>
        <w:t>подготовку и стаж работы.</w:t>
      </w:r>
    </w:p>
    <w:p w:rsidR="00FF72C7" w:rsidRPr="0053628A" w:rsidRDefault="00FF72C7">
      <w:pPr>
        <w:pStyle w:val="ConsPlusNormal"/>
        <w:jc w:val="both"/>
        <w:rPr>
          <w:rFonts w:ascii="Times New Roman" w:hAnsi="Times New Roman" w:cs="Times New Roman"/>
        </w:rPr>
      </w:pP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11. Должны ли работники привести свою квалификацию с требованиями профессиональных стандартов? Обязанность по направлению на обучение и расходы несет работодатель?</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Согласно статье 196 ТК РФ необходимость подготовки работников (профессиональное образование и профессиональное обучение) и дополнительного профессионального образования для собственных нужд определяет работодатель. Подготовка работников и дополнительное профессиональное образование работников осуществляются работодателем на условиях и в порядке, которые определяются коллективным договором, соглашениями, трудовым договором.</w:t>
      </w:r>
    </w:p>
    <w:p w:rsidR="00FF72C7" w:rsidRPr="0053628A" w:rsidRDefault="00FF72C7">
      <w:pPr>
        <w:pStyle w:val="ConsPlusNormal"/>
        <w:jc w:val="both"/>
        <w:rPr>
          <w:rFonts w:ascii="Times New Roman" w:hAnsi="Times New Roman" w:cs="Times New Roman"/>
        </w:rPr>
      </w:pP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12. Если выполняемые работником обязанности шире, чем содержащиеся в профессиональном стандарте трудовые функции и трудовые действия, имеет ли он право требовать доплату за совмещение профессий?</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Вопрос не связан с применением профессиональных стандартов.</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При совмещении профессий (должностей), расширении зон обслуживания, увеличении объема работы или исполнении обязанностей временно отсутствующего работника без освобождения от работы, определенной трудовым договором, оплата труда работника производится с учетом положений статьи 151 ТК РФ.</w:t>
      </w:r>
    </w:p>
    <w:p w:rsidR="00FF72C7" w:rsidRPr="0053628A" w:rsidRDefault="00FF72C7">
      <w:pPr>
        <w:pStyle w:val="ConsPlusNormal"/>
        <w:jc w:val="both"/>
        <w:rPr>
          <w:rFonts w:ascii="Times New Roman" w:hAnsi="Times New Roman" w:cs="Times New Roman"/>
        </w:rPr>
      </w:pP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13. Какие санкции будут применяться за неприменение или неправильное применение профессиональных стандартов?</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ТК РФ устанавливает обязательность применения требований, содержащихся в профессиональных стандартах, в том числе при приеме работников на работу, в следующих случаях:</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согласно части второй статьи 57 ТК РФ наименование должностей, профессий, специальностей и квалификационные требования к ним должны соответствовать наименованиям и требованиям, указанным в квалификационных справочниках или профессиональных стандартах, если в соответствии с ТК РФ или иными федеральными законами с выполнением работ по этим должностям, профессиям, специальностям связано предоставление компенсаций и льгот либо наличие ограничений;</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согласно статье 195.3 ТК РФ требования к квалификации работников, содержащиеся в профессиональных стандартах, обязательны для работодателя в случаях, если они установлены ТК РФ, другими федеральными законами, иными нормативными правовыми актами Российской Федерации.</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В других случаях эти требования носят рекомендательный характер.</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Таким образом, если не соблюдены указанные обязательные требования законодательства, то работодателю может быть выдано предписание об устранении выявленных нарушений трудового законодательства, а также он может быть привлечен к административной ответственности в соответствии со статьей 5.27 Кодекса об административных правонарушениях.</w:t>
      </w:r>
    </w:p>
    <w:p w:rsidR="00FF72C7" w:rsidRPr="0053628A" w:rsidRDefault="00FF72C7">
      <w:pPr>
        <w:pStyle w:val="ConsPlusNormal"/>
        <w:ind w:firstLine="540"/>
        <w:jc w:val="both"/>
        <w:rPr>
          <w:rFonts w:ascii="Times New Roman" w:hAnsi="Times New Roman" w:cs="Times New Roman"/>
        </w:rPr>
      </w:pPr>
      <w:r w:rsidRPr="0053628A">
        <w:rPr>
          <w:rFonts w:ascii="Times New Roman" w:hAnsi="Times New Roman" w:cs="Times New Roman"/>
        </w:rPr>
        <w:t>В остальных случаях требования проверяющих органов в части применения профессиональных стандартов неправомерны.</w:t>
      </w:r>
    </w:p>
    <w:p w:rsidR="00FF72C7" w:rsidRPr="0053628A" w:rsidRDefault="00FF72C7">
      <w:pPr>
        <w:pStyle w:val="ConsPlusNormal"/>
        <w:jc w:val="both"/>
        <w:rPr>
          <w:rFonts w:ascii="Times New Roman" w:hAnsi="Times New Roman" w:cs="Times New Roman"/>
        </w:rPr>
      </w:pPr>
    </w:p>
    <w:p w:rsidR="00FF72C7" w:rsidRPr="0053628A" w:rsidRDefault="00FF72C7">
      <w:pPr>
        <w:pStyle w:val="ConsPlusNormal"/>
        <w:jc w:val="both"/>
        <w:rPr>
          <w:rFonts w:ascii="Times New Roman" w:hAnsi="Times New Roman" w:cs="Times New Roman"/>
        </w:rPr>
      </w:pPr>
    </w:p>
    <w:p w:rsidR="00FF72C7" w:rsidRPr="0053628A" w:rsidRDefault="00FF72C7">
      <w:pPr>
        <w:pStyle w:val="ConsPlusNormal"/>
        <w:pBdr>
          <w:top w:val="single" w:sz="6" w:space="0" w:color="auto"/>
        </w:pBdr>
        <w:spacing w:before="100" w:after="100"/>
        <w:jc w:val="both"/>
        <w:rPr>
          <w:rFonts w:ascii="Times New Roman" w:hAnsi="Times New Roman" w:cs="Times New Roman"/>
          <w:sz w:val="2"/>
          <w:szCs w:val="2"/>
        </w:rPr>
      </w:pPr>
    </w:p>
    <w:sectPr w:rsidR="00FF72C7" w:rsidRPr="0053628A">
      <w:headerReference w:type="default" r:id="rId9"/>
      <w:footerReference w:type="default" r:id="rId10"/>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1141" w:rsidRDefault="00201141">
      <w:pPr>
        <w:spacing w:after="0" w:line="240" w:lineRule="auto"/>
      </w:pPr>
      <w:r>
        <w:separator/>
      </w:r>
    </w:p>
  </w:endnote>
  <w:endnote w:type="continuationSeparator" w:id="0">
    <w:p w:rsidR="00201141" w:rsidRDefault="00201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72C7" w:rsidRDefault="00FF72C7">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320"/>
      <w:gridCol w:w="3527"/>
      <w:gridCol w:w="3320"/>
    </w:tblGrid>
    <w:tr w:rsidR="0053628A" w:rsidRPr="0053628A">
      <w:tblPrEx>
        <w:tblCellMar>
          <w:top w:w="0" w:type="dxa"/>
          <w:bottom w:w="0" w:type="dxa"/>
        </w:tblCellMar>
      </w:tblPrEx>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FF72C7" w:rsidRPr="00FF72C7" w:rsidRDefault="00FF72C7">
          <w:pPr>
            <w:pStyle w:val="ConsPlusNormal"/>
            <w:rPr>
              <w:b/>
              <w:bCs/>
              <w:color w:val="333399"/>
              <w:sz w:val="28"/>
              <w:szCs w:val="28"/>
            </w:rPr>
          </w:pPr>
        </w:p>
      </w:tc>
      <w:tc>
        <w:tcPr>
          <w:tcW w:w="17" w:type="pct"/>
          <w:tcBorders>
            <w:top w:val="none" w:sz="2" w:space="0" w:color="auto"/>
            <w:left w:val="none" w:sz="2" w:space="0" w:color="auto"/>
            <w:bottom w:val="none" w:sz="2" w:space="0" w:color="auto"/>
            <w:right w:val="none" w:sz="2" w:space="0" w:color="auto"/>
          </w:tcBorders>
          <w:vAlign w:val="center"/>
        </w:tcPr>
        <w:p w:rsidR="00FF72C7" w:rsidRPr="00FF72C7" w:rsidRDefault="0053628A">
          <w:pPr>
            <w:pStyle w:val="ConsPlusNormal"/>
            <w:jc w:val="center"/>
            <w:rPr>
              <w:b/>
              <w:bCs/>
            </w:rPr>
          </w:pPr>
          <w:hyperlink r:id="rId1" w:history="1">
            <w:r w:rsidRPr="00AC7FBA">
              <w:rPr>
                <w:rStyle w:val="a7"/>
                <w:rFonts w:ascii="Book Antiqua" w:hAnsi="Book Antiqua"/>
                <w:b/>
                <w:bCs/>
                <w:color w:val="1F4E79"/>
              </w:rPr>
              <w:t>www.</w:t>
            </w:r>
            <w:r w:rsidRPr="00AC7FBA">
              <w:rPr>
                <w:rStyle w:val="a7"/>
                <w:rFonts w:ascii="Book Antiqua" w:hAnsi="Book Antiqua"/>
                <w:b/>
                <w:bCs/>
                <w:color w:val="1F4E79"/>
                <w:lang w:val="en-US"/>
              </w:rPr>
              <w:t>svelanasuvorova</w:t>
            </w:r>
            <w:r w:rsidRPr="00AC7FBA">
              <w:rPr>
                <w:rStyle w:val="a7"/>
                <w:rFonts w:ascii="Book Antiqua" w:hAnsi="Book Antiqua"/>
                <w:b/>
                <w:bCs/>
                <w:color w:val="1F4E79"/>
              </w:rPr>
              <w:t>.</w:t>
            </w:r>
            <w:proofErr w:type="spellStart"/>
            <w:r w:rsidRPr="00AC7FBA">
              <w:rPr>
                <w:rStyle w:val="a7"/>
                <w:rFonts w:ascii="Book Antiqua" w:hAnsi="Book Antiqua"/>
                <w:b/>
                <w:bCs/>
                <w:color w:val="1F4E79"/>
              </w:rPr>
              <w:t>ru</w:t>
            </w:r>
            <w:proofErr w:type="spellEnd"/>
          </w:hyperlink>
        </w:p>
      </w:tc>
      <w:tc>
        <w:tcPr>
          <w:tcW w:w="16" w:type="pct"/>
          <w:tcBorders>
            <w:top w:val="none" w:sz="2" w:space="0" w:color="auto"/>
            <w:left w:val="none" w:sz="2" w:space="0" w:color="auto"/>
            <w:bottom w:val="none" w:sz="2" w:space="0" w:color="auto"/>
            <w:right w:val="none" w:sz="2" w:space="0" w:color="auto"/>
          </w:tcBorders>
          <w:vAlign w:val="center"/>
        </w:tcPr>
        <w:p w:rsidR="00FF72C7" w:rsidRPr="0053628A" w:rsidRDefault="00FF72C7">
          <w:pPr>
            <w:pStyle w:val="ConsPlusNormal"/>
            <w:jc w:val="right"/>
            <w:rPr>
              <w:rFonts w:ascii="Book Antiqua" w:hAnsi="Book Antiqua"/>
              <w:color w:val="2F5496" w:themeColor="accent5" w:themeShade="BF"/>
            </w:rPr>
          </w:pPr>
          <w:r w:rsidRPr="0053628A">
            <w:rPr>
              <w:rFonts w:ascii="Book Antiqua" w:hAnsi="Book Antiqua"/>
              <w:color w:val="2F5496" w:themeColor="accent5" w:themeShade="BF"/>
            </w:rPr>
            <w:t xml:space="preserve">Страница </w:t>
          </w:r>
          <w:r w:rsidRPr="0053628A">
            <w:rPr>
              <w:rFonts w:ascii="Book Antiqua" w:hAnsi="Book Antiqua"/>
              <w:color w:val="2F5496" w:themeColor="accent5" w:themeShade="BF"/>
            </w:rPr>
            <w:fldChar w:fldCharType="begin"/>
          </w:r>
          <w:r w:rsidRPr="0053628A">
            <w:rPr>
              <w:rFonts w:ascii="Book Antiqua" w:hAnsi="Book Antiqua"/>
              <w:color w:val="2F5496" w:themeColor="accent5" w:themeShade="BF"/>
            </w:rPr>
            <w:instrText>\PAGE</w:instrText>
          </w:r>
          <w:r w:rsidR="0067017C" w:rsidRPr="0053628A">
            <w:rPr>
              <w:rFonts w:ascii="Book Antiqua" w:hAnsi="Book Antiqua"/>
              <w:color w:val="2F5496" w:themeColor="accent5" w:themeShade="BF"/>
            </w:rPr>
            <w:fldChar w:fldCharType="separate"/>
          </w:r>
          <w:r w:rsidR="003723AD">
            <w:rPr>
              <w:rFonts w:ascii="Book Antiqua" w:hAnsi="Book Antiqua"/>
              <w:noProof/>
              <w:color w:val="2F5496" w:themeColor="accent5" w:themeShade="BF"/>
            </w:rPr>
            <w:t>5</w:t>
          </w:r>
          <w:r w:rsidRPr="0053628A">
            <w:rPr>
              <w:rFonts w:ascii="Book Antiqua" w:hAnsi="Book Antiqua"/>
              <w:color w:val="2F5496" w:themeColor="accent5" w:themeShade="BF"/>
            </w:rPr>
            <w:fldChar w:fldCharType="end"/>
          </w:r>
          <w:r w:rsidRPr="0053628A">
            <w:rPr>
              <w:rFonts w:ascii="Book Antiqua" w:hAnsi="Book Antiqua"/>
              <w:color w:val="2F5496" w:themeColor="accent5" w:themeShade="BF"/>
            </w:rPr>
            <w:t xml:space="preserve"> из </w:t>
          </w:r>
          <w:r w:rsidRPr="0053628A">
            <w:rPr>
              <w:rFonts w:ascii="Book Antiqua" w:hAnsi="Book Antiqua"/>
              <w:color w:val="2F5496" w:themeColor="accent5" w:themeShade="BF"/>
            </w:rPr>
            <w:fldChar w:fldCharType="begin"/>
          </w:r>
          <w:r w:rsidRPr="0053628A">
            <w:rPr>
              <w:rFonts w:ascii="Book Antiqua" w:hAnsi="Book Antiqua"/>
              <w:color w:val="2F5496" w:themeColor="accent5" w:themeShade="BF"/>
            </w:rPr>
            <w:instrText>\NUMPAGES</w:instrText>
          </w:r>
          <w:r w:rsidR="0067017C" w:rsidRPr="0053628A">
            <w:rPr>
              <w:rFonts w:ascii="Book Antiqua" w:hAnsi="Book Antiqua"/>
              <w:color w:val="2F5496" w:themeColor="accent5" w:themeShade="BF"/>
            </w:rPr>
            <w:fldChar w:fldCharType="separate"/>
          </w:r>
          <w:r w:rsidR="003723AD">
            <w:rPr>
              <w:rFonts w:ascii="Book Antiqua" w:hAnsi="Book Antiqua"/>
              <w:noProof/>
              <w:color w:val="2F5496" w:themeColor="accent5" w:themeShade="BF"/>
            </w:rPr>
            <w:t>5</w:t>
          </w:r>
          <w:r w:rsidRPr="0053628A">
            <w:rPr>
              <w:rFonts w:ascii="Book Antiqua" w:hAnsi="Book Antiqua"/>
              <w:color w:val="2F5496" w:themeColor="accent5" w:themeShade="BF"/>
            </w:rPr>
            <w:fldChar w:fldCharType="end"/>
          </w:r>
        </w:p>
      </w:tc>
    </w:tr>
  </w:tbl>
  <w:p w:rsidR="00FF72C7" w:rsidRDefault="00FF72C7">
    <w:pPr>
      <w:pStyle w:val="ConsPlusNormal"/>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1141" w:rsidRDefault="00201141">
      <w:pPr>
        <w:spacing w:after="0" w:line="240" w:lineRule="auto"/>
      </w:pPr>
      <w:r>
        <w:separator/>
      </w:r>
    </w:p>
  </w:footnote>
  <w:footnote w:type="continuationSeparator" w:id="0">
    <w:p w:rsidR="00201141" w:rsidRDefault="002011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CellSpacing w:w="5" w:type="nil"/>
      <w:tblInd w:w="40" w:type="dxa"/>
      <w:tblCellMar>
        <w:left w:w="40" w:type="dxa"/>
        <w:right w:w="40" w:type="dxa"/>
      </w:tblCellMar>
      <w:tblLook w:val="0000" w:firstRow="0" w:lastRow="0" w:firstColumn="0" w:lastColumn="0" w:noHBand="0" w:noVBand="0"/>
    </w:tblPr>
    <w:tblGrid>
      <w:gridCol w:w="5602"/>
      <w:gridCol w:w="415"/>
      <w:gridCol w:w="4150"/>
    </w:tblGrid>
    <w:tr w:rsidR="00FF72C7" w:rsidRPr="00FF72C7">
      <w:tblPrEx>
        <w:tblCellMar>
          <w:top w:w="0" w:type="dxa"/>
          <w:bottom w:w="0" w:type="dxa"/>
        </w:tblCellMar>
      </w:tblPrEx>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FF72C7" w:rsidRPr="0053628A" w:rsidRDefault="00FF72C7">
          <w:pPr>
            <w:pStyle w:val="ConsPlusNormal"/>
            <w:rPr>
              <w:rFonts w:ascii="Book Antiqua" w:hAnsi="Book Antiqua"/>
              <w:sz w:val="16"/>
              <w:szCs w:val="16"/>
            </w:rPr>
          </w:pPr>
          <w:r w:rsidRPr="0053628A">
            <w:rPr>
              <w:rFonts w:ascii="Book Antiqua" w:hAnsi="Book Antiqua"/>
              <w:color w:val="2F5496" w:themeColor="accent5" w:themeShade="BF"/>
              <w:sz w:val="16"/>
              <w:szCs w:val="16"/>
            </w:rPr>
            <w:t>&lt;Письмо&gt; Минтруда России от 04.04.2016 N 14-0/10/В-2253</w:t>
          </w:r>
          <w:r w:rsidRPr="0053628A">
            <w:rPr>
              <w:rFonts w:ascii="Book Antiqua" w:hAnsi="Book Antiqua"/>
              <w:color w:val="2F5496" w:themeColor="accent5" w:themeShade="BF"/>
              <w:sz w:val="16"/>
              <w:szCs w:val="16"/>
            </w:rPr>
            <w:br/>
            <w:t xml:space="preserve">&lt;Ответы на типовые вопросы по применению профессиональных </w:t>
          </w:r>
          <w:proofErr w:type="spellStart"/>
          <w:r w:rsidRPr="0053628A">
            <w:rPr>
              <w:rFonts w:ascii="Book Antiqua" w:hAnsi="Book Antiqua"/>
              <w:color w:val="2F5496" w:themeColor="accent5" w:themeShade="BF"/>
              <w:sz w:val="16"/>
              <w:szCs w:val="16"/>
            </w:rPr>
            <w:t>станда</w:t>
          </w:r>
          <w:proofErr w:type="spellEnd"/>
          <w:r w:rsidRPr="0053628A">
            <w:rPr>
              <w:rFonts w:ascii="Book Antiqua" w:hAnsi="Book Antiqua"/>
              <w:color w:val="2F5496" w:themeColor="accent5" w:themeShade="BF"/>
              <w:sz w:val="16"/>
              <w:szCs w:val="16"/>
            </w:rPr>
            <w:t>...</w:t>
          </w:r>
        </w:p>
      </w:tc>
      <w:tc>
        <w:tcPr>
          <w:tcW w:w="2" w:type="pct"/>
          <w:tcBorders>
            <w:top w:val="none" w:sz="2" w:space="0" w:color="auto"/>
            <w:left w:val="none" w:sz="2" w:space="0" w:color="auto"/>
            <w:bottom w:val="none" w:sz="2" w:space="0" w:color="auto"/>
            <w:right w:val="none" w:sz="2" w:space="0" w:color="auto"/>
          </w:tcBorders>
          <w:vAlign w:val="center"/>
        </w:tcPr>
        <w:p w:rsidR="00FF72C7" w:rsidRPr="00FF72C7" w:rsidRDefault="00FF72C7">
          <w:pPr>
            <w:pStyle w:val="ConsPlusNormal"/>
            <w:jc w:val="center"/>
            <w:rPr>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FF72C7" w:rsidRPr="00FF72C7" w:rsidRDefault="00FF72C7">
          <w:pPr>
            <w:pStyle w:val="ConsPlusNormal"/>
            <w:jc w:val="right"/>
            <w:rPr>
              <w:sz w:val="16"/>
              <w:szCs w:val="16"/>
            </w:rPr>
          </w:pPr>
        </w:p>
      </w:tc>
    </w:tr>
  </w:tbl>
  <w:p w:rsidR="00FF72C7" w:rsidRDefault="00FF72C7">
    <w:pPr>
      <w:pStyle w:val="ConsPlusNormal"/>
      <w:pBdr>
        <w:bottom w:val="single" w:sz="12" w:space="0" w:color="auto"/>
      </w:pBdr>
      <w:jc w:val="center"/>
      <w:rPr>
        <w:sz w:val="2"/>
        <w:szCs w:val="2"/>
      </w:rPr>
    </w:pPr>
  </w:p>
  <w:p w:rsidR="00FF72C7" w:rsidRDefault="00FF72C7">
    <w:pPr>
      <w:pStyle w:val="ConsPlusNormal"/>
    </w:pPr>
    <w:r>
      <w:rPr>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17C"/>
    <w:rsid w:val="00201141"/>
    <w:rsid w:val="003723AD"/>
    <w:rsid w:val="00403A84"/>
    <w:rsid w:val="0053628A"/>
    <w:rsid w:val="00600E6D"/>
    <w:rsid w:val="0067017C"/>
    <w:rsid w:val="007211C3"/>
    <w:rsid w:val="00FF72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D621459-5EA0-41B7-BF69-41118996A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pPr>
    <w:rPr>
      <w:rFonts w:ascii="Arial" w:hAnsi="Arial" w:cs="Arial"/>
    </w:rPr>
  </w:style>
  <w:style w:type="paragraph" w:customStyle="1" w:styleId="ConsPlusNonformat">
    <w:name w:val="ConsPlusNonformat"/>
    <w:uiPriority w:val="99"/>
    <w:pPr>
      <w:widowControl w:val="0"/>
      <w:autoSpaceDE w:val="0"/>
      <w:autoSpaceDN w:val="0"/>
      <w:adjustRightInd w:val="0"/>
    </w:pPr>
    <w:rPr>
      <w:rFonts w:ascii="Courier New" w:hAnsi="Courier New" w:cs="Courier New"/>
    </w:rPr>
  </w:style>
  <w:style w:type="paragraph" w:customStyle="1" w:styleId="ConsPlusTitle">
    <w:name w:val="ConsPlusTitle"/>
    <w:uiPriority w:val="99"/>
    <w:pPr>
      <w:widowControl w:val="0"/>
      <w:autoSpaceDE w:val="0"/>
      <w:autoSpaceDN w:val="0"/>
      <w:adjustRightInd w:val="0"/>
    </w:pPr>
    <w:rPr>
      <w:rFonts w:ascii="Arial" w:hAnsi="Arial" w:cs="Arial"/>
      <w:b/>
      <w:bCs/>
      <w:sz w:val="16"/>
      <w:szCs w:val="16"/>
    </w:rPr>
  </w:style>
  <w:style w:type="paragraph" w:customStyle="1" w:styleId="ConsPlusCell">
    <w:name w:val="ConsPlusCell"/>
    <w:uiPriority w:val="99"/>
    <w:pPr>
      <w:widowControl w:val="0"/>
      <w:autoSpaceDE w:val="0"/>
      <w:autoSpaceDN w:val="0"/>
      <w:adjustRightInd w:val="0"/>
    </w:pPr>
    <w:rPr>
      <w:rFonts w:ascii="Courier New" w:hAnsi="Courier New" w:cs="Courier New"/>
    </w:rPr>
  </w:style>
  <w:style w:type="paragraph" w:customStyle="1" w:styleId="ConsPlusDocList">
    <w:name w:val="ConsPlusDocList"/>
    <w:uiPriority w:val="99"/>
    <w:pPr>
      <w:widowControl w:val="0"/>
      <w:autoSpaceDE w:val="0"/>
      <w:autoSpaceDN w:val="0"/>
      <w:adjustRightInd w:val="0"/>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pPr>
    <w:rPr>
      <w:rFonts w:ascii="Tahoma" w:hAnsi="Tahoma" w:cs="Tahoma"/>
    </w:rPr>
  </w:style>
  <w:style w:type="paragraph" w:customStyle="1" w:styleId="ConsPlusJurTerm">
    <w:name w:val="ConsPlusJurTerm"/>
    <w:uiPriority w:val="99"/>
    <w:pPr>
      <w:widowControl w:val="0"/>
      <w:autoSpaceDE w:val="0"/>
      <w:autoSpaceDN w:val="0"/>
      <w:adjustRightInd w:val="0"/>
    </w:pPr>
    <w:rPr>
      <w:rFonts w:ascii="Arial" w:hAnsi="Arial" w:cs="Arial"/>
    </w:rPr>
  </w:style>
  <w:style w:type="paragraph" w:customStyle="1" w:styleId="ConsPlusTextList">
    <w:name w:val="ConsPlusTextList"/>
    <w:uiPriority w:val="99"/>
    <w:pPr>
      <w:widowControl w:val="0"/>
      <w:autoSpaceDE w:val="0"/>
      <w:autoSpaceDN w:val="0"/>
      <w:adjustRightInd w:val="0"/>
    </w:pPr>
    <w:rPr>
      <w:rFonts w:ascii="Arial" w:hAnsi="Arial" w:cs="Arial"/>
    </w:rPr>
  </w:style>
  <w:style w:type="paragraph" w:customStyle="1" w:styleId="ConsPlusTextList1">
    <w:name w:val="ConsPlusTextList1"/>
    <w:uiPriority w:val="99"/>
    <w:pPr>
      <w:widowControl w:val="0"/>
      <w:autoSpaceDE w:val="0"/>
      <w:autoSpaceDN w:val="0"/>
      <w:adjustRightInd w:val="0"/>
    </w:pPr>
    <w:rPr>
      <w:rFonts w:ascii="Arial" w:hAnsi="Arial" w:cs="Arial"/>
    </w:rPr>
  </w:style>
  <w:style w:type="paragraph" w:styleId="a3">
    <w:name w:val="header"/>
    <w:basedOn w:val="a"/>
    <w:link w:val="a4"/>
    <w:uiPriority w:val="99"/>
    <w:unhideWhenUsed/>
    <w:rsid w:val="0053628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3628A"/>
    <w:rPr>
      <w:sz w:val="22"/>
      <w:szCs w:val="22"/>
    </w:rPr>
  </w:style>
  <w:style w:type="paragraph" w:styleId="a5">
    <w:name w:val="footer"/>
    <w:basedOn w:val="a"/>
    <w:link w:val="a6"/>
    <w:uiPriority w:val="99"/>
    <w:unhideWhenUsed/>
    <w:rsid w:val="0053628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3628A"/>
    <w:rPr>
      <w:sz w:val="22"/>
      <w:szCs w:val="22"/>
    </w:rPr>
  </w:style>
  <w:style w:type="character" w:styleId="a7">
    <w:name w:val="Hyperlink"/>
    <w:basedOn w:val="a0"/>
    <w:uiPriority w:val="99"/>
    <w:unhideWhenUsed/>
    <w:rsid w:val="0053628A"/>
    <w:rPr>
      <w:rFonts w:cs="Times New Roma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svetlanasuvorova.ru/" TargetMode="External"/><Relationship Id="rId3" Type="http://schemas.openxmlformats.org/officeDocument/2006/relationships/webSettings" Target="webSettings.xml"/><Relationship Id="rId7" Type="http://schemas.openxmlformats.org/officeDocument/2006/relationships/hyperlink" Target="http://www.svetlanasuvorova.ru/medosmotry/"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svelanasuvorov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2454</Words>
  <Characters>13988</Characters>
  <Application>Microsoft Office Word</Application>
  <DocSecurity>2</DocSecurity>
  <Lines>116</Lines>
  <Paragraphs>32</Paragraphs>
  <ScaleCrop>false</ScaleCrop>
  <HeadingPairs>
    <vt:vector size="2" baseType="variant">
      <vt:variant>
        <vt:lpstr>Название</vt:lpstr>
      </vt:variant>
      <vt:variant>
        <vt:i4>1</vt:i4>
      </vt:variant>
    </vt:vector>
  </HeadingPairs>
  <TitlesOfParts>
    <vt:vector size="1" baseType="lpstr">
      <vt:lpstr>&lt;Письмо&gt; Минтруда России от 04.04.2016 N 14-0/10/В-2253&lt;Ответы на типовые вопросы по применению профессиональных стандартов&gt;(вместе с "Информацией Министерства труда и социальной защиты Российской Федерации по вопросам применения профессиональных стандарт</vt:lpstr>
    </vt:vector>
  </TitlesOfParts>
  <Company>КонсультантПлюс Версия 4016.00.05</Company>
  <LinksUpToDate>false</LinksUpToDate>
  <CharactersWithSpaces>16410</CharactersWithSpaces>
  <SharedDoc>false</SharedDoc>
  <HLinks>
    <vt:vector size="30" baseType="variant">
      <vt:variant>
        <vt:i4>5242882</vt:i4>
      </vt:variant>
      <vt:variant>
        <vt:i4>6</vt:i4>
      </vt:variant>
      <vt:variant>
        <vt:i4>0</vt:i4>
      </vt:variant>
      <vt:variant>
        <vt:i4>5</vt:i4>
      </vt:variant>
      <vt:variant>
        <vt:lpwstr/>
      </vt:variant>
      <vt:variant>
        <vt:lpwstr>Par18</vt:lpwstr>
      </vt:variant>
      <vt:variant>
        <vt:i4>5242882</vt:i4>
      </vt:variant>
      <vt:variant>
        <vt:i4>3</vt:i4>
      </vt:variant>
      <vt:variant>
        <vt:i4>0</vt:i4>
      </vt:variant>
      <vt:variant>
        <vt:i4>5</vt:i4>
      </vt:variant>
      <vt:variant>
        <vt:lpwstr/>
      </vt:variant>
      <vt:variant>
        <vt:lpwstr>Par18</vt:lpwstr>
      </vt:variant>
      <vt:variant>
        <vt:i4>1179719</vt:i4>
      </vt:variant>
      <vt:variant>
        <vt:i4>0</vt:i4>
      </vt:variant>
      <vt:variant>
        <vt:i4>0</vt:i4>
      </vt:variant>
      <vt:variant>
        <vt:i4>5</vt:i4>
      </vt:variant>
      <vt:variant>
        <vt:lpwstr>http://www.consultant.ru/</vt:lpwstr>
      </vt:variant>
      <vt:variant>
        <vt:lpwstr/>
      </vt:variant>
      <vt:variant>
        <vt:i4>1179719</vt:i4>
      </vt:variant>
      <vt:variant>
        <vt:i4>3</vt:i4>
      </vt:variant>
      <vt:variant>
        <vt:i4>0</vt:i4>
      </vt:variant>
      <vt:variant>
        <vt:i4>5</vt:i4>
      </vt:variant>
      <vt:variant>
        <vt:lpwstr>http://www.consultant.ru/</vt:lpwstr>
      </vt:variant>
      <vt:variant>
        <vt:lpwstr/>
      </vt:variant>
      <vt:variant>
        <vt:i4>1179719</vt:i4>
      </vt:variant>
      <vt:variant>
        <vt:i4>0</vt:i4>
      </vt:variant>
      <vt:variant>
        <vt:i4>0</vt:i4>
      </vt:variant>
      <vt:variant>
        <vt:i4>5</vt:i4>
      </vt:variant>
      <vt:variant>
        <vt:lpwstr>http://www.consultant.ru/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Минтруда России от 04.04.2016 N 14-0/10/В-2253&lt;Ответы на типовые вопросы по применению профессиональных стандартов&gt;(вместе с "Информацией Министерства труда и социальной защиты Российской Федерации по вопросам применения профессиональных стандарт</dc:title>
  <dc:subject/>
  <dc:creator>Елена Вагина</dc:creator>
  <cp:keywords/>
  <dc:description/>
  <cp:lastModifiedBy>Suvorova</cp:lastModifiedBy>
  <cp:revision>4</cp:revision>
  <dcterms:created xsi:type="dcterms:W3CDTF">2022-11-25T11:39:00Z</dcterms:created>
  <dcterms:modified xsi:type="dcterms:W3CDTF">2022-11-25T12:05:00Z</dcterms:modified>
</cp:coreProperties>
</file>